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10" w:type="dxa"/>
        <w:jc w:val="center"/>
        <w:tblCellSpacing w:w="0" w:type="dxa"/>
        <w:tblCellMar>
          <w:left w:w="0" w:type="dxa"/>
          <w:right w:w="0" w:type="dxa"/>
        </w:tblCellMar>
        <w:tblLook w:val="04A0" w:firstRow="1" w:lastRow="0" w:firstColumn="1" w:lastColumn="0" w:noHBand="0" w:noVBand="1"/>
      </w:tblPr>
      <w:tblGrid>
        <w:gridCol w:w="8910"/>
      </w:tblGrid>
      <w:tr w:rsidR="002A5DD1" w:rsidTr="002A5DD1">
        <w:trPr>
          <w:tblCellSpacing w:w="0" w:type="dxa"/>
          <w:jc w:val="center"/>
        </w:trPr>
        <w:tc>
          <w:tcPr>
            <w:tcW w:w="8910" w:type="dxa"/>
            <w:shd w:val="clear" w:color="auto" w:fill="021832"/>
            <w:vAlign w:val="center"/>
            <w:hideMark/>
          </w:tcPr>
          <w:p w:rsidR="002A5DD1" w:rsidRDefault="002A5DD1">
            <w:pPr>
              <w:jc w:val="center"/>
              <w:rPr>
                <w:rFonts w:eastAsia="Times New Roman"/>
              </w:rPr>
            </w:pPr>
            <w:r>
              <w:rPr>
                <w:rFonts w:eastAsia="Times New Roman"/>
                <w:noProof/>
              </w:rPr>
              <w:drawing>
                <wp:inline distT="0" distB="0" distL="0" distR="0">
                  <wp:extent cx="5619750" cy="238125"/>
                  <wp:effectExtent l="0" t="0" r="0" b="9525"/>
                  <wp:docPr id="5" name="Imagem 5" descr="https://www.petros.com.br/petrossite/servicos/campanhas/informativo/2015/to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tros.com.br/petrossite/servicos/campanhas/informativo/2015/top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238125"/>
                          </a:xfrm>
                          <a:prstGeom prst="rect">
                            <a:avLst/>
                          </a:prstGeom>
                          <a:noFill/>
                          <a:ln>
                            <a:noFill/>
                          </a:ln>
                        </pic:spPr>
                      </pic:pic>
                    </a:graphicData>
                  </a:graphic>
                </wp:inline>
              </w:drawing>
            </w:r>
          </w:p>
        </w:tc>
      </w:tr>
      <w:tr w:rsidR="002A5DD1" w:rsidTr="002A5DD1">
        <w:trPr>
          <w:tblCellSpacing w:w="0" w:type="dxa"/>
          <w:jc w:val="center"/>
        </w:trPr>
        <w:tc>
          <w:tcPr>
            <w:tcW w:w="8910" w:type="dxa"/>
            <w:vAlign w:val="center"/>
            <w:hideMark/>
          </w:tcPr>
          <w:tbl>
            <w:tblPr>
              <w:tblW w:w="8910" w:type="dxa"/>
              <w:jc w:val="center"/>
              <w:tblCellSpacing w:w="0" w:type="dxa"/>
              <w:tblCellMar>
                <w:left w:w="0" w:type="dxa"/>
                <w:right w:w="0" w:type="dxa"/>
              </w:tblCellMar>
              <w:tblLook w:val="04A0" w:firstRow="1" w:lastRow="0" w:firstColumn="1" w:lastColumn="0" w:noHBand="0" w:noVBand="1"/>
            </w:tblPr>
            <w:tblGrid>
              <w:gridCol w:w="6947"/>
              <w:gridCol w:w="1963"/>
            </w:tblGrid>
            <w:tr w:rsidR="002A5DD1">
              <w:trPr>
                <w:trHeight w:val="1200"/>
                <w:tblCellSpacing w:w="0" w:type="dxa"/>
                <w:jc w:val="center"/>
              </w:trPr>
              <w:tc>
                <w:tcPr>
                  <w:tcW w:w="6900" w:type="dxa"/>
                  <w:vAlign w:val="center"/>
                  <w:hideMark/>
                </w:tcPr>
                <w:p w:rsidR="002A5DD1" w:rsidRDefault="002A5DD1">
                  <w:pPr>
                    <w:rPr>
                      <w:rFonts w:eastAsia="Times New Roman"/>
                    </w:rPr>
                  </w:pPr>
                  <w:r>
                    <w:rPr>
                      <w:rFonts w:eastAsia="Times New Roman"/>
                      <w:noProof/>
                    </w:rPr>
                    <w:drawing>
                      <wp:inline distT="0" distB="0" distL="0" distR="0">
                        <wp:extent cx="3810000" cy="762000"/>
                        <wp:effectExtent l="0" t="0" r="0" b="0"/>
                        <wp:docPr id="4" name="Imagem 4" descr="http://informativo.petros.com.br/Campanhas/Informativo/2016/informativo_participan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rmativo.petros.com.br/Campanhas/Informativo/2016/informativo_participant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inline>
                    </w:drawing>
                  </w:r>
                </w:p>
              </w:tc>
              <w:tc>
                <w:tcPr>
                  <w:tcW w:w="1950" w:type="dxa"/>
                  <w:vMerge w:val="restart"/>
                  <w:hideMark/>
                </w:tcPr>
                <w:p w:rsidR="002A5DD1" w:rsidRDefault="002A5DD1">
                  <w:pPr>
                    <w:jc w:val="right"/>
                    <w:rPr>
                      <w:rFonts w:eastAsia="Times New Roman"/>
                    </w:rPr>
                  </w:pPr>
                  <w:r>
                    <w:rPr>
                      <w:rFonts w:eastAsia="Times New Roman"/>
                      <w:noProof/>
                    </w:rPr>
                    <w:drawing>
                      <wp:inline distT="0" distB="0" distL="0" distR="0">
                        <wp:extent cx="1143000" cy="1000125"/>
                        <wp:effectExtent l="0" t="0" r="0" b="9525"/>
                        <wp:docPr id="3" name="Imagem 3" descr="Pe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r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00125"/>
                                </a:xfrm>
                                <a:prstGeom prst="rect">
                                  <a:avLst/>
                                </a:prstGeom>
                                <a:noFill/>
                                <a:ln>
                                  <a:noFill/>
                                </a:ln>
                              </pic:spPr>
                            </pic:pic>
                          </a:graphicData>
                        </a:graphic>
                      </wp:inline>
                    </w:drawing>
                  </w:r>
                </w:p>
              </w:tc>
            </w:tr>
            <w:tr w:rsidR="002A5DD1">
              <w:trPr>
                <w:tblCellSpacing w:w="0" w:type="dxa"/>
                <w:jc w:val="center"/>
              </w:trPr>
              <w:tc>
                <w:tcPr>
                  <w:tcW w:w="0" w:type="auto"/>
                  <w:vAlign w:val="bottom"/>
                  <w:hideMark/>
                </w:tcPr>
                <w:p w:rsidR="002A5DD1" w:rsidRDefault="002A5DD1">
                  <w:pPr>
                    <w:rPr>
                      <w:rFonts w:ascii="Arial" w:eastAsia="Times New Roman" w:hAnsi="Arial" w:cs="Arial"/>
                      <w:b/>
                      <w:bCs/>
                      <w:color w:val="103155"/>
                      <w:sz w:val="18"/>
                      <w:szCs w:val="18"/>
                    </w:rPr>
                  </w:pPr>
                  <w:r>
                    <w:rPr>
                      <w:rFonts w:ascii="Arial" w:eastAsia="Times New Roman" w:hAnsi="Arial" w:cs="Arial"/>
                      <w:b/>
                      <w:bCs/>
                      <w:color w:val="103155"/>
                      <w:sz w:val="18"/>
                      <w:szCs w:val="18"/>
                    </w:rPr>
                    <w:t xml:space="preserve">ANO </w:t>
                  </w:r>
                  <w:proofErr w:type="gramStart"/>
                  <w:r>
                    <w:rPr>
                      <w:rFonts w:ascii="Arial" w:eastAsia="Times New Roman" w:hAnsi="Arial" w:cs="Arial"/>
                      <w:b/>
                      <w:bCs/>
                      <w:color w:val="103155"/>
                      <w:sz w:val="18"/>
                      <w:szCs w:val="18"/>
                    </w:rPr>
                    <w:t>5</w:t>
                  </w:r>
                  <w:proofErr w:type="gramEnd"/>
                  <w:r>
                    <w:rPr>
                      <w:rFonts w:ascii="Arial" w:eastAsia="Times New Roman" w:hAnsi="Arial" w:cs="Arial"/>
                      <w:b/>
                      <w:bCs/>
                      <w:color w:val="103155"/>
                      <w:sz w:val="18"/>
                      <w:szCs w:val="18"/>
                    </w:rPr>
                    <w:t>        </w:t>
                  </w:r>
                  <w:r>
                    <w:rPr>
                      <w:rFonts w:ascii="Arial" w:eastAsia="Times New Roman" w:hAnsi="Arial" w:cs="Arial"/>
                      <w:b/>
                      <w:bCs/>
                      <w:color w:val="6FA399"/>
                      <w:sz w:val="18"/>
                      <w:szCs w:val="18"/>
                    </w:rPr>
                    <w:t>|</w:t>
                  </w:r>
                  <w:r>
                    <w:rPr>
                      <w:rFonts w:ascii="Arial" w:eastAsia="Times New Roman" w:hAnsi="Arial" w:cs="Arial"/>
                      <w:b/>
                      <w:bCs/>
                      <w:color w:val="103155"/>
                      <w:sz w:val="18"/>
                      <w:szCs w:val="18"/>
                    </w:rPr>
                    <w:t>        outubro de 2019</w:t>
                  </w:r>
                </w:p>
              </w:tc>
              <w:tc>
                <w:tcPr>
                  <w:tcW w:w="0" w:type="auto"/>
                  <w:vMerge/>
                  <w:vAlign w:val="center"/>
                  <w:hideMark/>
                </w:tcPr>
                <w:p w:rsidR="002A5DD1" w:rsidRDefault="002A5DD1">
                  <w:pPr>
                    <w:rPr>
                      <w:rFonts w:eastAsia="Times New Roman"/>
                    </w:rPr>
                  </w:pPr>
                </w:p>
              </w:tc>
            </w:tr>
          </w:tbl>
          <w:p w:rsidR="002A5DD1" w:rsidRDefault="002A5DD1">
            <w:pPr>
              <w:jc w:val="center"/>
              <w:rPr>
                <w:rFonts w:eastAsia="Times New Roman"/>
                <w:sz w:val="20"/>
                <w:szCs w:val="20"/>
              </w:rPr>
            </w:pPr>
          </w:p>
        </w:tc>
      </w:tr>
      <w:tr w:rsidR="002A5DD1" w:rsidTr="002A5DD1">
        <w:trPr>
          <w:trHeight w:val="450"/>
          <w:tblCellSpacing w:w="0" w:type="dxa"/>
          <w:jc w:val="center"/>
        </w:trPr>
        <w:tc>
          <w:tcPr>
            <w:tcW w:w="8910" w:type="dxa"/>
            <w:vAlign w:val="center"/>
            <w:hideMark/>
          </w:tcPr>
          <w:p w:rsidR="002A5DD1" w:rsidRDefault="002A5DD1">
            <w:pPr>
              <w:rPr>
                <w:rFonts w:eastAsia="Times New Roman"/>
              </w:rPr>
            </w:pPr>
            <w:r>
              <w:rPr>
                <w:rFonts w:eastAsia="Times New Roman"/>
                <w:noProof/>
              </w:rPr>
              <w:drawing>
                <wp:inline distT="0" distB="0" distL="0" distR="0">
                  <wp:extent cx="9525" cy="285750"/>
                  <wp:effectExtent l="0" t="0" r="0" b="0"/>
                  <wp:docPr id="2" name="Imagem 2" descr="https://www.petros.com.br/petrossite/servicos/campanhas/informativo/2015/espac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etros.com.br/petrossite/servicos/campanhas/informativo/2015/espacado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r>
      <w:tr w:rsidR="002A5DD1" w:rsidTr="002A5DD1">
        <w:trPr>
          <w:tblCellSpacing w:w="0" w:type="dxa"/>
          <w:jc w:val="center"/>
        </w:trPr>
        <w:tc>
          <w:tcPr>
            <w:tcW w:w="0" w:type="auto"/>
            <w:vAlign w:val="center"/>
            <w:hideMark/>
          </w:tcPr>
          <w:tbl>
            <w:tblPr>
              <w:tblW w:w="8910" w:type="dxa"/>
              <w:tblCellSpacing w:w="0" w:type="dxa"/>
              <w:tblCellMar>
                <w:left w:w="0" w:type="dxa"/>
                <w:right w:w="0" w:type="dxa"/>
              </w:tblCellMar>
              <w:tblLook w:val="04A0" w:firstRow="1" w:lastRow="0" w:firstColumn="1" w:lastColumn="0" w:noHBand="0" w:noVBand="1"/>
            </w:tblPr>
            <w:tblGrid>
              <w:gridCol w:w="8910"/>
            </w:tblGrid>
            <w:tr w:rsidR="002A5DD1">
              <w:trPr>
                <w:tblCellSpacing w:w="0" w:type="dxa"/>
              </w:trPr>
              <w:tc>
                <w:tcPr>
                  <w:tcW w:w="0" w:type="auto"/>
                  <w:vAlign w:val="center"/>
                  <w:hideMark/>
                </w:tcPr>
                <w:tbl>
                  <w:tblPr>
                    <w:tblW w:w="8910" w:type="dxa"/>
                    <w:jc w:val="center"/>
                    <w:tblCellSpacing w:w="0" w:type="dxa"/>
                    <w:tblCellMar>
                      <w:left w:w="0" w:type="dxa"/>
                      <w:right w:w="0" w:type="dxa"/>
                    </w:tblCellMar>
                    <w:tblLook w:val="04A0" w:firstRow="1" w:lastRow="0" w:firstColumn="1" w:lastColumn="0" w:noHBand="0" w:noVBand="1"/>
                  </w:tblPr>
                  <w:tblGrid>
                    <w:gridCol w:w="8910"/>
                  </w:tblGrid>
                  <w:tr w:rsidR="002A5DD1">
                    <w:trPr>
                      <w:tblCellSpacing w:w="0" w:type="dxa"/>
                      <w:jc w:val="center"/>
                    </w:trPr>
                    <w:tc>
                      <w:tcPr>
                        <w:tcW w:w="0" w:type="auto"/>
                        <w:vAlign w:val="center"/>
                        <w:hideMark/>
                      </w:tcPr>
                      <w:p w:rsidR="002A5DD1" w:rsidRDefault="002A5DD1">
                        <w:pPr>
                          <w:spacing w:line="270" w:lineRule="atLeast"/>
                          <w:jc w:val="both"/>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5657850" cy="2914650"/>
                              <wp:effectExtent l="0" t="0" r="0" b="0"/>
                              <wp:docPr id="1" name="Imagem 1" descr="http://informativo.petros.com.br/campanhas/informativo/2019/05/img_reca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formativo.petros.com.br/campanhas/informativo/2019/05/img_recad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2914650"/>
                                      </a:xfrm>
                                      <a:prstGeom prst="rect">
                                        <a:avLst/>
                                      </a:prstGeom>
                                      <a:noFill/>
                                      <a:ln>
                                        <a:noFill/>
                                      </a:ln>
                                    </pic:spPr>
                                  </pic:pic>
                                </a:graphicData>
                              </a:graphic>
                            </wp:inline>
                          </w:drawing>
                        </w:r>
                      </w:p>
                    </w:tc>
                  </w:tr>
                  <w:tr w:rsidR="002A5DD1">
                    <w:trPr>
                      <w:trHeight w:val="750"/>
                      <w:tblCellSpacing w:w="0" w:type="dxa"/>
                      <w:jc w:val="center"/>
                    </w:trPr>
                    <w:tc>
                      <w:tcPr>
                        <w:tcW w:w="0" w:type="auto"/>
                        <w:vAlign w:val="center"/>
                        <w:hideMark/>
                      </w:tcPr>
                      <w:p w:rsidR="002A5DD1" w:rsidRDefault="002A5DD1">
                        <w:pPr>
                          <w:spacing w:line="450" w:lineRule="atLeast"/>
                          <w:rPr>
                            <w:rFonts w:ascii="Arial" w:eastAsia="Times New Roman" w:hAnsi="Arial" w:cs="Arial"/>
                            <w:b/>
                            <w:bCs/>
                            <w:color w:val="021832"/>
                            <w:sz w:val="27"/>
                            <w:szCs w:val="27"/>
                          </w:rPr>
                        </w:pPr>
                        <w:r>
                          <w:rPr>
                            <w:rFonts w:ascii="Arial" w:eastAsia="Times New Roman" w:hAnsi="Arial" w:cs="Arial"/>
                            <w:b/>
                            <w:bCs/>
                            <w:color w:val="021832"/>
                            <w:sz w:val="27"/>
                            <w:szCs w:val="27"/>
                          </w:rPr>
                          <w:t>Petros encerra campanha com 93,48% do público recadastrado</w:t>
                        </w:r>
                      </w:p>
                    </w:tc>
                  </w:tr>
                  <w:tr w:rsidR="002A5DD1">
                    <w:trPr>
                      <w:tblCellSpacing w:w="0" w:type="dxa"/>
                      <w:jc w:val="center"/>
                    </w:trPr>
                    <w:tc>
                      <w:tcPr>
                        <w:tcW w:w="0" w:type="auto"/>
                        <w:vAlign w:val="center"/>
                        <w:hideMark/>
                      </w:tcPr>
                      <w:p w:rsidR="002A5DD1" w:rsidRDefault="002A5DD1">
                        <w:pPr>
                          <w:pStyle w:val="NormalWeb"/>
                          <w:spacing w:line="270" w:lineRule="atLeast"/>
                          <w:jc w:val="both"/>
                          <w:rPr>
                            <w:rFonts w:ascii="Arial" w:hAnsi="Arial" w:cs="Arial"/>
                            <w:color w:val="333333"/>
                            <w:sz w:val="20"/>
                            <w:szCs w:val="20"/>
                          </w:rPr>
                        </w:pPr>
                        <w:r>
                          <w:rPr>
                            <w:rFonts w:ascii="Arial" w:hAnsi="Arial" w:cs="Arial"/>
                            <w:color w:val="333333"/>
                            <w:sz w:val="20"/>
                            <w:szCs w:val="20"/>
                          </w:rPr>
                          <w:t xml:space="preserve">A campanha de recadastramento obrigatório de sete planos - Petros do Sistema Petrobras-Repactuados (PPSP-R), Petros do Sistema Petrobras-Não Repactuados (PPSP-NR), Petros-2 (PP-2), Petros </w:t>
                        </w:r>
                        <w:proofErr w:type="spellStart"/>
                        <w:r>
                          <w:rPr>
                            <w:rFonts w:ascii="Arial" w:hAnsi="Arial" w:cs="Arial"/>
                            <w:color w:val="333333"/>
                            <w:sz w:val="20"/>
                            <w:szCs w:val="20"/>
                          </w:rPr>
                          <w:t>Nitriflex</w:t>
                        </w:r>
                        <w:proofErr w:type="spellEnd"/>
                        <w:r>
                          <w:rPr>
                            <w:rFonts w:ascii="Arial" w:hAnsi="Arial" w:cs="Arial"/>
                            <w:color w:val="333333"/>
                            <w:sz w:val="20"/>
                            <w:szCs w:val="20"/>
                          </w:rPr>
                          <w:t xml:space="preserve">, Petros Ultrafértil, </w:t>
                        </w:r>
                        <w:proofErr w:type="spellStart"/>
                        <w:proofErr w:type="gramStart"/>
                        <w:r>
                          <w:rPr>
                            <w:rFonts w:ascii="Arial" w:hAnsi="Arial" w:cs="Arial"/>
                            <w:color w:val="333333"/>
                            <w:sz w:val="20"/>
                            <w:szCs w:val="20"/>
                          </w:rPr>
                          <w:t>TapmePrev</w:t>
                        </w:r>
                        <w:proofErr w:type="spellEnd"/>
                        <w:proofErr w:type="gramEnd"/>
                        <w:r>
                          <w:rPr>
                            <w:rFonts w:ascii="Arial" w:hAnsi="Arial" w:cs="Arial"/>
                            <w:color w:val="333333"/>
                            <w:sz w:val="20"/>
                            <w:szCs w:val="20"/>
                          </w:rPr>
                          <w:t xml:space="preserve"> e Misto </w:t>
                        </w:r>
                        <w:proofErr w:type="spellStart"/>
                        <w:r>
                          <w:rPr>
                            <w:rFonts w:ascii="Arial" w:hAnsi="Arial" w:cs="Arial"/>
                            <w:color w:val="333333"/>
                            <w:sz w:val="20"/>
                            <w:szCs w:val="20"/>
                          </w:rPr>
                          <w:t>Sanasa</w:t>
                        </w:r>
                        <w:proofErr w:type="spellEnd"/>
                        <w:r>
                          <w:rPr>
                            <w:rFonts w:ascii="Arial" w:hAnsi="Arial" w:cs="Arial"/>
                            <w:color w:val="333333"/>
                            <w:sz w:val="20"/>
                            <w:szCs w:val="20"/>
                          </w:rPr>
                          <w:t xml:space="preserve"> - chegou ao fim com grande sucesso. Dos 111.632 participantes ativos e assistidos que deveriam se </w:t>
                        </w:r>
                        <w:proofErr w:type="gramStart"/>
                        <w:r>
                          <w:rPr>
                            <w:rFonts w:ascii="Arial" w:hAnsi="Arial" w:cs="Arial"/>
                            <w:color w:val="333333"/>
                            <w:sz w:val="20"/>
                            <w:szCs w:val="20"/>
                          </w:rPr>
                          <w:t>recadastrar,</w:t>
                        </w:r>
                        <w:proofErr w:type="gramEnd"/>
                        <w:r>
                          <w:rPr>
                            <w:rFonts w:ascii="Arial" w:hAnsi="Arial" w:cs="Arial"/>
                            <w:color w:val="333333"/>
                            <w:sz w:val="20"/>
                            <w:szCs w:val="20"/>
                          </w:rPr>
                          <w:t xml:space="preserve"> 104.363, ou 93,48% do público-alvo, atualizaram seus dados na Fundação.</w:t>
                        </w:r>
                      </w:p>
                      <w:p w:rsidR="002A5DD1" w:rsidRDefault="002A5DD1">
                        <w:pPr>
                          <w:pStyle w:val="NormalWeb"/>
                          <w:spacing w:line="270" w:lineRule="atLeast"/>
                          <w:jc w:val="both"/>
                          <w:rPr>
                            <w:rFonts w:ascii="Arial" w:hAnsi="Arial" w:cs="Arial"/>
                            <w:color w:val="333333"/>
                            <w:sz w:val="20"/>
                            <w:szCs w:val="20"/>
                          </w:rPr>
                        </w:pPr>
                        <w:r>
                          <w:rPr>
                            <w:rFonts w:ascii="Arial" w:hAnsi="Arial" w:cs="Arial"/>
                            <w:color w:val="333333"/>
                            <w:sz w:val="20"/>
                            <w:szCs w:val="20"/>
                          </w:rPr>
                          <w:t xml:space="preserve">Iniciado no segundo semestre de 2017, o recadastramento foi majoritariamente digital. Para convocar os participantes a se recadastrarem e orientá-los sobre como atualizar seus dados, a Petros enviou dezenas de informativos por e-mail, assim como mensagens de texto via celular (SMS) e notificação via Petros </w:t>
                        </w:r>
                        <w:proofErr w:type="spellStart"/>
                        <w:r>
                          <w:rPr>
                            <w:rFonts w:ascii="Arial" w:hAnsi="Arial" w:cs="Arial"/>
                            <w:color w:val="333333"/>
                            <w:sz w:val="20"/>
                            <w:szCs w:val="20"/>
                          </w:rPr>
                          <w:t>App</w:t>
                        </w:r>
                        <w:proofErr w:type="spellEnd"/>
                        <w:r>
                          <w:rPr>
                            <w:rFonts w:ascii="Arial" w:hAnsi="Arial" w:cs="Arial"/>
                            <w:color w:val="333333"/>
                            <w:sz w:val="20"/>
                            <w:szCs w:val="20"/>
                          </w:rPr>
                          <w:t>. Também foi enviado comunicado impresso pelos Correios para aqueles que não tinham e-mail nem celular cadastrados na Fundação. Neste ano, a Petros retomou a campanha e fez um novo esforço para convocar um público residual que ainda não havia se recadastrado.</w:t>
                        </w:r>
                      </w:p>
                      <w:p w:rsidR="002A5DD1" w:rsidRDefault="002A5DD1">
                        <w:pPr>
                          <w:pStyle w:val="NormalWeb"/>
                          <w:spacing w:line="270" w:lineRule="atLeast"/>
                          <w:rPr>
                            <w:rFonts w:ascii="Arial" w:hAnsi="Arial" w:cs="Arial"/>
                            <w:b/>
                            <w:bCs/>
                            <w:color w:val="021832"/>
                          </w:rPr>
                        </w:pPr>
                        <w:r>
                          <w:rPr>
                            <w:rFonts w:ascii="Arial" w:hAnsi="Arial" w:cs="Arial"/>
                            <w:b/>
                            <w:bCs/>
                            <w:color w:val="021832"/>
                          </w:rPr>
                          <w:t>Atualizar seus dados é rápido e fácil</w:t>
                        </w:r>
                      </w:p>
                      <w:p w:rsidR="002A5DD1" w:rsidRDefault="002A5DD1">
                        <w:pPr>
                          <w:pStyle w:val="NormalWeb"/>
                          <w:spacing w:line="270" w:lineRule="atLeast"/>
                          <w:jc w:val="both"/>
                          <w:rPr>
                            <w:rFonts w:ascii="Arial" w:hAnsi="Arial" w:cs="Arial"/>
                            <w:color w:val="333333"/>
                            <w:sz w:val="20"/>
                            <w:szCs w:val="20"/>
                          </w:rPr>
                        </w:pPr>
                        <w:r>
                          <w:rPr>
                            <w:rFonts w:ascii="Arial" w:hAnsi="Arial" w:cs="Arial"/>
                            <w:color w:val="333333"/>
                            <w:sz w:val="20"/>
                            <w:szCs w:val="20"/>
                          </w:rPr>
                          <w:t xml:space="preserve">A atualização do cadastro é fundamental para garantir a qualidade do atendimento aos participantes. E agora ficou mais fácil fazer esta atualização. Basta acessar o </w:t>
                        </w:r>
                        <w:hyperlink r:id="rId10" w:tgtFrame="_blank" w:history="1">
                          <w:r>
                            <w:rPr>
                              <w:rStyle w:val="Hyperlink"/>
                              <w:rFonts w:ascii="Arial" w:hAnsi="Arial" w:cs="Arial"/>
                              <w:b/>
                              <w:bCs/>
                              <w:i/>
                              <w:iCs/>
                              <w:color w:val="00877D"/>
                              <w:sz w:val="20"/>
                              <w:szCs w:val="20"/>
                              <w:u w:val="none"/>
                            </w:rPr>
                            <w:t>Portal Petros</w:t>
                          </w:r>
                        </w:hyperlink>
                        <w:r>
                          <w:rPr>
                            <w:rFonts w:ascii="Arial" w:hAnsi="Arial" w:cs="Arial"/>
                            <w:color w:val="333333"/>
                            <w:sz w:val="20"/>
                            <w:szCs w:val="20"/>
                          </w:rPr>
                          <w:t>, entrar na Área do Participante, clicar em "Autoatendimento", "Cadastro" e "Dados Pessoais". Esta nova forma de atualização está disponível para todos os planos.</w:t>
                        </w:r>
                      </w:p>
                      <w:p w:rsidR="002A5DD1" w:rsidRDefault="002A5DD1">
                        <w:pPr>
                          <w:pStyle w:val="NormalWeb"/>
                          <w:spacing w:line="270" w:lineRule="atLeast"/>
                          <w:jc w:val="both"/>
                          <w:rPr>
                            <w:rFonts w:ascii="Arial" w:hAnsi="Arial" w:cs="Arial"/>
                            <w:color w:val="333333"/>
                            <w:sz w:val="20"/>
                            <w:szCs w:val="20"/>
                          </w:rPr>
                        </w:pPr>
                        <w:r>
                          <w:rPr>
                            <w:rFonts w:ascii="Arial" w:hAnsi="Arial" w:cs="Arial"/>
                            <w:color w:val="333333"/>
                            <w:sz w:val="20"/>
                            <w:szCs w:val="20"/>
                          </w:rPr>
                          <w:t>Ativos e assistidos já podem fazer a atualização completa de seus dados pessoais. A partir de fevereiro, será possível atualizar também os dados dos vinculados para recebimento de pensão e/ou pecúlio, de acordo com as regras de cada plano.</w:t>
                        </w:r>
                      </w:p>
                      <w:p w:rsidR="002A5DD1" w:rsidRDefault="002A5DD1">
                        <w:pPr>
                          <w:pStyle w:val="NormalWeb"/>
                          <w:spacing w:line="270" w:lineRule="atLeast"/>
                          <w:jc w:val="both"/>
                          <w:rPr>
                            <w:rFonts w:ascii="Arial" w:hAnsi="Arial" w:cs="Arial"/>
                            <w:color w:val="333333"/>
                            <w:sz w:val="20"/>
                            <w:szCs w:val="20"/>
                          </w:rPr>
                        </w:pPr>
                        <w:r>
                          <w:rPr>
                            <w:rFonts w:ascii="Arial" w:hAnsi="Arial" w:cs="Arial"/>
                            <w:color w:val="333333"/>
                            <w:sz w:val="20"/>
                            <w:szCs w:val="20"/>
                          </w:rPr>
                          <w:t xml:space="preserve">Caso seja necessário enviar alguma comprovação para alteração de cadastro, isto estará sinalizado. Os documentos deverão ser enviados digitalmente pelo próprio formulário de atualização de dados, nos formatos JPEG, PDF ou TIFF. Podem ser cópias escaneadas ou fotos feitas pelo </w:t>
                        </w:r>
                        <w:r>
                          <w:rPr>
                            <w:rFonts w:ascii="Arial" w:hAnsi="Arial" w:cs="Arial"/>
                            <w:color w:val="333333"/>
                            <w:sz w:val="20"/>
                            <w:szCs w:val="20"/>
                          </w:rPr>
                          <w:lastRenderedPageBreak/>
                          <w:t>celular, desde que com boa nitidez.</w:t>
                        </w:r>
                      </w:p>
                      <w:p w:rsidR="002A5DD1" w:rsidRDefault="002A5DD1">
                        <w:pPr>
                          <w:pStyle w:val="NormalWeb"/>
                          <w:spacing w:line="270" w:lineRule="atLeast"/>
                          <w:jc w:val="both"/>
                          <w:rPr>
                            <w:rFonts w:ascii="Arial" w:hAnsi="Arial" w:cs="Arial"/>
                            <w:color w:val="333333"/>
                            <w:sz w:val="20"/>
                            <w:szCs w:val="20"/>
                          </w:rPr>
                        </w:pPr>
                        <w:r>
                          <w:rPr>
                            <w:rFonts w:ascii="Arial" w:hAnsi="Arial" w:cs="Arial"/>
                            <w:color w:val="333333"/>
                            <w:sz w:val="20"/>
                            <w:szCs w:val="20"/>
                          </w:rPr>
                          <w:t xml:space="preserve">Outra novidade é que a partir de agora todo o acompanhamento do pedido de atualização cadastral - do encaminhamento à Petros a seu deferimento, inclusive a sinalização de eventuais pendências - poderá ser feito pelo participante ativo ou assistido pelo </w:t>
                        </w:r>
                        <w:hyperlink r:id="rId11" w:tgtFrame="_blank" w:history="1">
                          <w:r>
                            <w:rPr>
                              <w:rStyle w:val="Hyperlink"/>
                              <w:rFonts w:ascii="Arial" w:hAnsi="Arial" w:cs="Arial"/>
                              <w:b/>
                              <w:bCs/>
                              <w:i/>
                              <w:iCs/>
                              <w:color w:val="00877D"/>
                              <w:sz w:val="20"/>
                              <w:szCs w:val="20"/>
                              <w:u w:val="none"/>
                            </w:rPr>
                            <w:t>Portal Petros</w:t>
                          </w:r>
                        </w:hyperlink>
                        <w:r>
                          <w:rPr>
                            <w:rFonts w:ascii="Arial" w:hAnsi="Arial" w:cs="Arial"/>
                            <w:color w:val="333333"/>
                            <w:sz w:val="20"/>
                            <w:szCs w:val="20"/>
                          </w:rPr>
                          <w:t>, na opção "Meus pedidos".</w:t>
                        </w:r>
                      </w:p>
                      <w:p w:rsidR="002A5DD1" w:rsidRDefault="002A5DD1">
                        <w:pPr>
                          <w:pStyle w:val="NormalWeb"/>
                          <w:spacing w:line="270" w:lineRule="atLeast"/>
                          <w:rPr>
                            <w:rFonts w:ascii="Arial" w:hAnsi="Arial" w:cs="Arial"/>
                            <w:b/>
                            <w:bCs/>
                            <w:color w:val="021832"/>
                          </w:rPr>
                        </w:pPr>
                        <w:r>
                          <w:rPr>
                            <w:rFonts w:ascii="Arial" w:hAnsi="Arial" w:cs="Arial"/>
                            <w:b/>
                            <w:bCs/>
                            <w:color w:val="021832"/>
                          </w:rPr>
                          <w:t>Mantenha seu cadastro em dia</w:t>
                        </w:r>
                      </w:p>
                      <w:p w:rsidR="002A5DD1" w:rsidRDefault="002A5DD1">
                        <w:pPr>
                          <w:pStyle w:val="NormalWeb"/>
                          <w:spacing w:line="270" w:lineRule="atLeast"/>
                          <w:jc w:val="both"/>
                          <w:rPr>
                            <w:rFonts w:ascii="Arial" w:hAnsi="Arial" w:cs="Arial"/>
                            <w:color w:val="333333"/>
                            <w:sz w:val="20"/>
                            <w:szCs w:val="20"/>
                          </w:rPr>
                        </w:pPr>
                        <w:r>
                          <w:rPr>
                            <w:rFonts w:ascii="Arial" w:hAnsi="Arial" w:cs="Arial"/>
                            <w:color w:val="333333"/>
                            <w:sz w:val="20"/>
                            <w:szCs w:val="20"/>
                          </w:rPr>
                          <w:t>É com base em informações como idade e número de dependentes que os técnicos da Petros calculam quanto a Fundação vai precisar para honrar os compromissos futuros do plano. E, para que esses cálculos sejam adequados, precisam se basear em informações atualizadas. Um cadastro correto também garante um atendimento mais ágil para os participantes e seus dependentes.</w:t>
                        </w:r>
                      </w:p>
                    </w:tc>
                  </w:tr>
                </w:tbl>
                <w:p w:rsidR="002A5DD1" w:rsidRDefault="002A5DD1">
                  <w:pPr>
                    <w:jc w:val="center"/>
                    <w:rPr>
                      <w:rFonts w:eastAsia="Times New Roman"/>
                      <w:sz w:val="20"/>
                      <w:szCs w:val="20"/>
                    </w:rPr>
                  </w:pPr>
                </w:p>
              </w:tc>
            </w:tr>
          </w:tbl>
          <w:p w:rsidR="002A5DD1" w:rsidRDefault="002A5DD1">
            <w:pPr>
              <w:rPr>
                <w:rFonts w:eastAsia="Times New Roman"/>
                <w:sz w:val="20"/>
                <w:szCs w:val="20"/>
              </w:rPr>
            </w:pPr>
          </w:p>
        </w:tc>
      </w:tr>
    </w:tbl>
    <w:p w:rsidR="00B21731" w:rsidRDefault="00B21731">
      <w:bookmarkStart w:id="0" w:name="_GoBack"/>
      <w:bookmarkEnd w:id="0"/>
    </w:p>
    <w:sectPr w:rsidR="00B21731" w:rsidSect="00FB45C3">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D1"/>
    <w:rsid w:val="002A5DD1"/>
    <w:rsid w:val="00B21731"/>
    <w:rsid w:val="00FB45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D1"/>
    <w:pPr>
      <w:jc w:val="left"/>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A5DD1"/>
    <w:rPr>
      <w:color w:val="0000FF"/>
      <w:u w:val="single"/>
    </w:rPr>
  </w:style>
  <w:style w:type="paragraph" w:styleId="NormalWeb">
    <w:name w:val="Normal (Web)"/>
    <w:basedOn w:val="Normal"/>
    <w:uiPriority w:val="99"/>
    <w:unhideWhenUsed/>
    <w:rsid w:val="002A5DD1"/>
    <w:pPr>
      <w:spacing w:before="100" w:beforeAutospacing="1" w:after="100" w:afterAutospacing="1"/>
    </w:pPr>
  </w:style>
  <w:style w:type="paragraph" w:styleId="Textodebalo">
    <w:name w:val="Balloon Text"/>
    <w:basedOn w:val="Normal"/>
    <w:link w:val="TextodebaloChar"/>
    <w:uiPriority w:val="99"/>
    <w:semiHidden/>
    <w:unhideWhenUsed/>
    <w:rsid w:val="002A5DD1"/>
    <w:rPr>
      <w:rFonts w:ascii="Tahoma" w:hAnsi="Tahoma" w:cs="Tahoma"/>
      <w:sz w:val="16"/>
      <w:szCs w:val="16"/>
    </w:rPr>
  </w:style>
  <w:style w:type="character" w:customStyle="1" w:styleId="TextodebaloChar">
    <w:name w:val="Texto de balão Char"/>
    <w:basedOn w:val="Fontepargpadro"/>
    <w:link w:val="Textodebalo"/>
    <w:uiPriority w:val="99"/>
    <w:semiHidden/>
    <w:rsid w:val="002A5DD1"/>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D1"/>
    <w:pPr>
      <w:jc w:val="left"/>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A5DD1"/>
    <w:rPr>
      <w:color w:val="0000FF"/>
      <w:u w:val="single"/>
    </w:rPr>
  </w:style>
  <w:style w:type="paragraph" w:styleId="NormalWeb">
    <w:name w:val="Normal (Web)"/>
    <w:basedOn w:val="Normal"/>
    <w:uiPriority w:val="99"/>
    <w:unhideWhenUsed/>
    <w:rsid w:val="002A5DD1"/>
    <w:pPr>
      <w:spacing w:before="100" w:beforeAutospacing="1" w:after="100" w:afterAutospacing="1"/>
    </w:pPr>
  </w:style>
  <w:style w:type="paragraph" w:styleId="Textodebalo">
    <w:name w:val="Balloon Text"/>
    <w:basedOn w:val="Normal"/>
    <w:link w:val="TextodebaloChar"/>
    <w:uiPriority w:val="99"/>
    <w:semiHidden/>
    <w:unhideWhenUsed/>
    <w:rsid w:val="002A5DD1"/>
    <w:rPr>
      <w:rFonts w:ascii="Tahoma" w:hAnsi="Tahoma" w:cs="Tahoma"/>
      <w:sz w:val="16"/>
      <w:szCs w:val="16"/>
    </w:rPr>
  </w:style>
  <w:style w:type="character" w:customStyle="1" w:styleId="TextodebaloChar">
    <w:name w:val="Texto de balão Char"/>
    <w:basedOn w:val="Fontepargpadro"/>
    <w:link w:val="Textodebalo"/>
    <w:uiPriority w:val="99"/>
    <w:semiHidden/>
    <w:rsid w:val="002A5DD1"/>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e.petros.com.br/v3/TRC/C/349/436300/2276192/55890574/" TargetMode="External"/><Relationship Id="rId5" Type="http://schemas.openxmlformats.org/officeDocument/2006/relationships/image" Target="media/image1.gif"/><Relationship Id="rId10" Type="http://schemas.openxmlformats.org/officeDocument/2006/relationships/hyperlink" Target="http://e.petros.com.br/v3/TRC/C/349/436300/2276191/55890574/"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Sousa</dc:creator>
  <cp:lastModifiedBy>Manoel Sousa</cp:lastModifiedBy>
  <cp:revision>1</cp:revision>
  <dcterms:created xsi:type="dcterms:W3CDTF">2019-10-28T22:41:00Z</dcterms:created>
  <dcterms:modified xsi:type="dcterms:W3CDTF">2019-10-28T22:43:00Z</dcterms:modified>
</cp:coreProperties>
</file>