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0" w:type="dxa"/>
        <w:jc w:val="center"/>
        <w:tblCellSpacing w:w="0" w:type="dxa"/>
        <w:tblCellMar>
          <w:left w:w="0" w:type="dxa"/>
          <w:right w:w="0" w:type="dxa"/>
        </w:tblCellMar>
        <w:tblLook w:val="04A0" w:firstRow="1" w:lastRow="0" w:firstColumn="1" w:lastColumn="0" w:noHBand="0" w:noVBand="1"/>
      </w:tblPr>
      <w:tblGrid>
        <w:gridCol w:w="8910"/>
      </w:tblGrid>
      <w:tr w:rsidR="00875B07" w:rsidTr="00875B07">
        <w:trPr>
          <w:tblCellSpacing w:w="0" w:type="dxa"/>
          <w:jc w:val="center"/>
        </w:trPr>
        <w:tc>
          <w:tcPr>
            <w:tcW w:w="8910" w:type="dxa"/>
            <w:shd w:val="clear" w:color="auto" w:fill="021832"/>
            <w:vAlign w:val="center"/>
            <w:hideMark/>
          </w:tcPr>
          <w:p w:rsidR="00875B07" w:rsidRDefault="00875B07">
            <w:pPr>
              <w:jc w:val="center"/>
              <w:rPr>
                <w:rFonts w:eastAsia="Times New Roman"/>
              </w:rPr>
            </w:pPr>
            <w:r>
              <w:rPr>
                <w:rFonts w:eastAsia="Times New Roman"/>
                <w:noProof/>
              </w:rPr>
              <w:drawing>
                <wp:inline distT="0" distB="0" distL="0" distR="0">
                  <wp:extent cx="5619750" cy="238125"/>
                  <wp:effectExtent l="0" t="0" r="0" b="9525"/>
                  <wp:docPr id="4" name="Imagem 4" descr="https://www.petros.com.br/petrossite/servicos/campanhas/informativo/2015/to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tros.com.br/petrossite/servicos/campanhas/informativo/2015/top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238125"/>
                          </a:xfrm>
                          <a:prstGeom prst="rect">
                            <a:avLst/>
                          </a:prstGeom>
                          <a:noFill/>
                          <a:ln>
                            <a:noFill/>
                          </a:ln>
                        </pic:spPr>
                      </pic:pic>
                    </a:graphicData>
                  </a:graphic>
                </wp:inline>
              </w:drawing>
            </w:r>
          </w:p>
        </w:tc>
      </w:tr>
      <w:tr w:rsidR="00875B07" w:rsidTr="00875B07">
        <w:trPr>
          <w:tblCellSpacing w:w="0" w:type="dxa"/>
          <w:jc w:val="center"/>
        </w:trPr>
        <w:tc>
          <w:tcPr>
            <w:tcW w:w="8910" w:type="dxa"/>
            <w:vAlign w:val="center"/>
            <w:hideMark/>
          </w:tcPr>
          <w:tbl>
            <w:tblPr>
              <w:tblW w:w="8910" w:type="dxa"/>
              <w:jc w:val="center"/>
              <w:tblCellSpacing w:w="0" w:type="dxa"/>
              <w:tblCellMar>
                <w:left w:w="0" w:type="dxa"/>
                <w:right w:w="0" w:type="dxa"/>
              </w:tblCellMar>
              <w:tblLook w:val="04A0" w:firstRow="1" w:lastRow="0" w:firstColumn="1" w:lastColumn="0" w:noHBand="0" w:noVBand="1"/>
            </w:tblPr>
            <w:tblGrid>
              <w:gridCol w:w="6947"/>
              <w:gridCol w:w="1963"/>
            </w:tblGrid>
            <w:tr w:rsidR="00875B07">
              <w:trPr>
                <w:trHeight w:val="1200"/>
                <w:tblCellSpacing w:w="0" w:type="dxa"/>
                <w:jc w:val="center"/>
              </w:trPr>
              <w:tc>
                <w:tcPr>
                  <w:tcW w:w="6900" w:type="dxa"/>
                  <w:vAlign w:val="center"/>
                  <w:hideMark/>
                </w:tcPr>
                <w:p w:rsidR="00875B07" w:rsidRDefault="00875B07">
                  <w:pPr>
                    <w:rPr>
                      <w:rFonts w:eastAsia="Times New Roman"/>
                    </w:rPr>
                  </w:pPr>
                  <w:r>
                    <w:rPr>
                      <w:rFonts w:eastAsia="Times New Roman"/>
                      <w:noProof/>
                    </w:rPr>
                    <w:drawing>
                      <wp:inline distT="0" distB="0" distL="0" distR="0">
                        <wp:extent cx="3810000" cy="762000"/>
                        <wp:effectExtent l="0" t="0" r="0" b="0"/>
                        <wp:docPr id="3" name="Imagem 3" descr="http://informativo.petros.com.br/Campanhas/Informativo/2016/informativo_participan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rmativo.petros.com.br/Campanhas/Informativo/2016/informativo_participant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tc>
              <w:tc>
                <w:tcPr>
                  <w:tcW w:w="1950" w:type="dxa"/>
                  <w:vMerge w:val="restart"/>
                  <w:hideMark/>
                </w:tcPr>
                <w:p w:rsidR="00875B07" w:rsidRDefault="00875B07">
                  <w:pPr>
                    <w:jc w:val="right"/>
                    <w:rPr>
                      <w:rFonts w:eastAsia="Times New Roman"/>
                    </w:rPr>
                  </w:pPr>
                  <w:r>
                    <w:rPr>
                      <w:rFonts w:eastAsia="Times New Roman"/>
                      <w:noProof/>
                    </w:rPr>
                    <w:drawing>
                      <wp:inline distT="0" distB="0" distL="0" distR="0">
                        <wp:extent cx="1143000" cy="1000125"/>
                        <wp:effectExtent l="0" t="0" r="0" b="9525"/>
                        <wp:docPr id="2" name="Imagem 2" descr="Pe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00125"/>
                                </a:xfrm>
                                <a:prstGeom prst="rect">
                                  <a:avLst/>
                                </a:prstGeom>
                                <a:noFill/>
                                <a:ln>
                                  <a:noFill/>
                                </a:ln>
                              </pic:spPr>
                            </pic:pic>
                          </a:graphicData>
                        </a:graphic>
                      </wp:inline>
                    </w:drawing>
                  </w:r>
                </w:p>
              </w:tc>
            </w:tr>
            <w:tr w:rsidR="00875B07">
              <w:trPr>
                <w:tblCellSpacing w:w="0" w:type="dxa"/>
                <w:jc w:val="center"/>
              </w:trPr>
              <w:tc>
                <w:tcPr>
                  <w:tcW w:w="0" w:type="auto"/>
                  <w:vAlign w:val="bottom"/>
                  <w:hideMark/>
                </w:tcPr>
                <w:p w:rsidR="00875B07" w:rsidRDefault="00875B07">
                  <w:pPr>
                    <w:rPr>
                      <w:rFonts w:ascii="Arial" w:eastAsia="Times New Roman" w:hAnsi="Arial" w:cs="Arial"/>
                      <w:b/>
                      <w:bCs/>
                      <w:color w:val="103155"/>
                      <w:sz w:val="18"/>
                      <w:szCs w:val="18"/>
                    </w:rPr>
                  </w:pPr>
                  <w:r>
                    <w:rPr>
                      <w:rFonts w:ascii="Arial" w:eastAsia="Times New Roman" w:hAnsi="Arial" w:cs="Arial"/>
                      <w:b/>
                      <w:bCs/>
                      <w:color w:val="103155"/>
                      <w:sz w:val="18"/>
                      <w:szCs w:val="18"/>
                    </w:rPr>
                    <w:t xml:space="preserve">ANO </w:t>
                  </w:r>
                  <w:proofErr w:type="gramStart"/>
                  <w:r>
                    <w:rPr>
                      <w:rFonts w:ascii="Arial" w:eastAsia="Times New Roman" w:hAnsi="Arial" w:cs="Arial"/>
                      <w:b/>
                      <w:bCs/>
                      <w:color w:val="103155"/>
                      <w:sz w:val="18"/>
                      <w:szCs w:val="18"/>
                    </w:rPr>
                    <w:t>5</w:t>
                  </w:r>
                  <w:proofErr w:type="gramEnd"/>
                  <w:r>
                    <w:rPr>
                      <w:rFonts w:ascii="Arial" w:eastAsia="Times New Roman" w:hAnsi="Arial" w:cs="Arial"/>
                      <w:b/>
                      <w:bCs/>
                      <w:color w:val="103155"/>
                      <w:sz w:val="18"/>
                      <w:szCs w:val="18"/>
                    </w:rPr>
                    <w:t>        </w:t>
                  </w:r>
                  <w:r>
                    <w:rPr>
                      <w:rFonts w:ascii="Arial" w:eastAsia="Times New Roman" w:hAnsi="Arial" w:cs="Arial"/>
                      <w:b/>
                      <w:bCs/>
                      <w:color w:val="6FA399"/>
                      <w:sz w:val="18"/>
                      <w:szCs w:val="18"/>
                    </w:rPr>
                    <w:t>|</w:t>
                  </w:r>
                  <w:r>
                    <w:rPr>
                      <w:rFonts w:ascii="Arial" w:eastAsia="Times New Roman" w:hAnsi="Arial" w:cs="Arial"/>
                      <w:b/>
                      <w:bCs/>
                      <w:color w:val="103155"/>
                      <w:sz w:val="18"/>
                      <w:szCs w:val="18"/>
                    </w:rPr>
                    <w:t>        outubro de 2019</w:t>
                  </w:r>
                </w:p>
              </w:tc>
              <w:tc>
                <w:tcPr>
                  <w:tcW w:w="0" w:type="auto"/>
                  <w:vMerge/>
                  <w:vAlign w:val="center"/>
                  <w:hideMark/>
                </w:tcPr>
                <w:p w:rsidR="00875B07" w:rsidRDefault="00875B07">
                  <w:pPr>
                    <w:rPr>
                      <w:rFonts w:eastAsia="Times New Roman"/>
                    </w:rPr>
                  </w:pPr>
                </w:p>
              </w:tc>
            </w:tr>
          </w:tbl>
          <w:p w:rsidR="00875B07" w:rsidRDefault="00875B07">
            <w:pPr>
              <w:jc w:val="center"/>
              <w:rPr>
                <w:rFonts w:eastAsia="Times New Roman"/>
                <w:sz w:val="20"/>
                <w:szCs w:val="20"/>
              </w:rPr>
            </w:pPr>
          </w:p>
        </w:tc>
      </w:tr>
      <w:tr w:rsidR="00875B07" w:rsidTr="00875B07">
        <w:trPr>
          <w:trHeight w:val="450"/>
          <w:tblCellSpacing w:w="0" w:type="dxa"/>
          <w:jc w:val="center"/>
        </w:trPr>
        <w:tc>
          <w:tcPr>
            <w:tcW w:w="8910" w:type="dxa"/>
            <w:vAlign w:val="center"/>
            <w:hideMark/>
          </w:tcPr>
          <w:p w:rsidR="00875B07" w:rsidRDefault="00875B07">
            <w:pPr>
              <w:rPr>
                <w:rFonts w:eastAsia="Times New Roman"/>
              </w:rPr>
            </w:pPr>
            <w:r>
              <w:rPr>
                <w:rFonts w:eastAsia="Times New Roman"/>
                <w:noProof/>
              </w:rPr>
              <w:drawing>
                <wp:inline distT="0" distB="0" distL="0" distR="0">
                  <wp:extent cx="9525" cy="285750"/>
                  <wp:effectExtent l="0" t="0" r="0" b="0"/>
                  <wp:docPr id="1" name="Imagem 1" descr="https://www.petros.com.br/petrossite/servicos/campanhas/informativo/2015/espac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etros.com.br/petrossite/servicos/campanhas/informativo/2015/espacado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r w:rsidR="00875B07" w:rsidTr="00875B07">
        <w:trPr>
          <w:tblCellSpacing w:w="0" w:type="dxa"/>
          <w:jc w:val="center"/>
        </w:trPr>
        <w:tc>
          <w:tcPr>
            <w:tcW w:w="0" w:type="auto"/>
            <w:vAlign w:val="center"/>
            <w:hideMark/>
          </w:tcPr>
          <w:tbl>
            <w:tblPr>
              <w:tblW w:w="8910" w:type="dxa"/>
              <w:tblCellSpacing w:w="0" w:type="dxa"/>
              <w:tblCellMar>
                <w:left w:w="0" w:type="dxa"/>
                <w:right w:w="0" w:type="dxa"/>
              </w:tblCellMar>
              <w:tblLook w:val="04A0" w:firstRow="1" w:lastRow="0" w:firstColumn="1" w:lastColumn="0" w:noHBand="0" w:noVBand="1"/>
            </w:tblPr>
            <w:tblGrid>
              <w:gridCol w:w="8910"/>
            </w:tblGrid>
            <w:tr w:rsidR="00875B07">
              <w:trPr>
                <w:tblCellSpacing w:w="0" w:type="dxa"/>
              </w:trPr>
              <w:tc>
                <w:tcPr>
                  <w:tcW w:w="0" w:type="auto"/>
                  <w:vAlign w:val="center"/>
                  <w:hideMark/>
                </w:tcPr>
                <w:tbl>
                  <w:tblPr>
                    <w:tblW w:w="8910" w:type="dxa"/>
                    <w:jc w:val="center"/>
                    <w:tblCellSpacing w:w="0" w:type="dxa"/>
                    <w:tblCellMar>
                      <w:left w:w="0" w:type="dxa"/>
                      <w:right w:w="0" w:type="dxa"/>
                    </w:tblCellMar>
                    <w:tblLook w:val="04A0" w:firstRow="1" w:lastRow="0" w:firstColumn="1" w:lastColumn="0" w:noHBand="0" w:noVBand="1"/>
                  </w:tblPr>
                  <w:tblGrid>
                    <w:gridCol w:w="8910"/>
                  </w:tblGrid>
                  <w:tr w:rsidR="00875B07">
                    <w:trPr>
                      <w:trHeight w:val="1200"/>
                      <w:tblCellSpacing w:w="0" w:type="dxa"/>
                      <w:jc w:val="center"/>
                    </w:trPr>
                    <w:tc>
                      <w:tcPr>
                        <w:tcW w:w="0" w:type="auto"/>
                        <w:vAlign w:val="center"/>
                        <w:hideMark/>
                      </w:tcPr>
                      <w:p w:rsidR="00875B07" w:rsidRDefault="00875B07" w:rsidP="00875B07">
                        <w:pPr>
                          <w:spacing w:line="450" w:lineRule="atLeast"/>
                          <w:jc w:val="center"/>
                          <w:rPr>
                            <w:rFonts w:ascii="Arial" w:eastAsia="Times New Roman" w:hAnsi="Arial" w:cs="Arial"/>
                            <w:b/>
                            <w:bCs/>
                            <w:color w:val="021832"/>
                            <w:sz w:val="27"/>
                            <w:szCs w:val="27"/>
                          </w:rPr>
                        </w:pPr>
                        <w:r>
                          <w:rPr>
                            <w:rFonts w:ascii="Arial" w:eastAsia="Times New Roman" w:hAnsi="Arial" w:cs="Arial"/>
                            <w:b/>
                            <w:bCs/>
                            <w:color w:val="021832"/>
                            <w:sz w:val="27"/>
                            <w:szCs w:val="27"/>
                          </w:rPr>
                          <w:t>Petros pede para atuar como as</w:t>
                        </w:r>
                        <w:bookmarkStart w:id="0" w:name="_GoBack"/>
                        <w:bookmarkEnd w:id="0"/>
                        <w:r>
                          <w:rPr>
                            <w:rFonts w:ascii="Arial" w:eastAsia="Times New Roman" w:hAnsi="Arial" w:cs="Arial"/>
                            <w:b/>
                            <w:bCs/>
                            <w:color w:val="021832"/>
                            <w:sz w:val="27"/>
                            <w:szCs w:val="27"/>
                          </w:rPr>
                          <w:t xml:space="preserve">sistente de acusação do MPF em processos de improbidade administrativa contra </w:t>
                        </w:r>
                        <w:proofErr w:type="spellStart"/>
                        <w:r>
                          <w:rPr>
                            <w:rFonts w:ascii="Arial" w:eastAsia="Times New Roman" w:hAnsi="Arial" w:cs="Arial"/>
                            <w:b/>
                            <w:bCs/>
                            <w:color w:val="021832"/>
                            <w:sz w:val="27"/>
                            <w:szCs w:val="27"/>
                          </w:rPr>
                          <w:t>ex-gestores</w:t>
                        </w:r>
                        <w:proofErr w:type="spellEnd"/>
                      </w:p>
                    </w:tc>
                  </w:tr>
                  <w:tr w:rsidR="00875B07">
                    <w:trPr>
                      <w:tblCellSpacing w:w="0" w:type="dxa"/>
                      <w:jc w:val="center"/>
                    </w:trPr>
                    <w:tc>
                      <w:tcPr>
                        <w:tcW w:w="0" w:type="auto"/>
                        <w:vAlign w:val="center"/>
                        <w:hideMark/>
                      </w:tcPr>
                      <w:p w:rsidR="00875B07" w:rsidRDefault="00875B07">
                        <w:pPr>
                          <w:pStyle w:val="NormalWeb"/>
                          <w:spacing w:line="270" w:lineRule="atLeast"/>
                          <w:jc w:val="both"/>
                          <w:rPr>
                            <w:rFonts w:ascii="Arial" w:hAnsi="Arial" w:cs="Arial"/>
                            <w:color w:val="333333"/>
                            <w:sz w:val="20"/>
                            <w:szCs w:val="20"/>
                          </w:rPr>
                        </w:pPr>
                        <w:r>
                          <w:rPr>
                            <w:rFonts w:ascii="Arial" w:hAnsi="Arial" w:cs="Arial"/>
                            <w:color w:val="333333"/>
                            <w:sz w:val="20"/>
                            <w:szCs w:val="20"/>
                          </w:rPr>
                          <w:t xml:space="preserve">A Petros ingressou com requerimentos na 22ª Vara da Justiça Federal, em Brasília, para atuar como assistente de acusação do Ministério Público Federal (MPF), sendo coautora em quatro processos de improbidade administrativa movidos pelo órgão contra </w:t>
                        </w:r>
                        <w:proofErr w:type="spellStart"/>
                        <w:r>
                          <w:rPr>
                            <w:rFonts w:ascii="Arial" w:hAnsi="Arial" w:cs="Arial"/>
                            <w:color w:val="333333"/>
                            <w:sz w:val="20"/>
                            <w:szCs w:val="20"/>
                          </w:rPr>
                          <w:t>ex-gestores</w:t>
                        </w:r>
                        <w:proofErr w:type="spellEnd"/>
                        <w:r>
                          <w:rPr>
                            <w:rFonts w:ascii="Arial" w:hAnsi="Arial" w:cs="Arial"/>
                            <w:color w:val="333333"/>
                            <w:sz w:val="20"/>
                            <w:szCs w:val="20"/>
                          </w:rPr>
                          <w:t xml:space="preserve"> e terceiros por atos ilegais que tenham causado prejuízos à Fundação. As ações do MPF estão relacionadas a ativos investigados pela Operação </w:t>
                        </w:r>
                        <w:proofErr w:type="spellStart"/>
                        <w:r>
                          <w:rPr>
                            <w:rFonts w:ascii="Arial" w:hAnsi="Arial" w:cs="Arial"/>
                            <w:color w:val="333333"/>
                            <w:sz w:val="20"/>
                            <w:szCs w:val="20"/>
                          </w:rPr>
                          <w:t>Greenfield</w:t>
                        </w:r>
                        <w:proofErr w:type="spellEnd"/>
                        <w:r>
                          <w:rPr>
                            <w:rFonts w:ascii="Arial" w:hAnsi="Arial" w:cs="Arial"/>
                            <w:color w:val="333333"/>
                            <w:sz w:val="20"/>
                            <w:szCs w:val="20"/>
                          </w:rPr>
                          <w:t xml:space="preserve">. São eles: </w:t>
                        </w:r>
                        <w:proofErr w:type="gramStart"/>
                        <w:r>
                          <w:rPr>
                            <w:rFonts w:ascii="Arial" w:hAnsi="Arial" w:cs="Arial"/>
                            <w:color w:val="333333"/>
                            <w:sz w:val="20"/>
                            <w:szCs w:val="20"/>
                          </w:rPr>
                          <w:t>os Fundos de Investimentos em Participações (FIP) Global</w:t>
                        </w:r>
                        <w:proofErr w:type="gramEnd"/>
                        <w:r>
                          <w:rPr>
                            <w:rFonts w:ascii="Arial" w:hAnsi="Arial" w:cs="Arial"/>
                            <w:color w:val="333333"/>
                            <w:sz w:val="20"/>
                            <w:szCs w:val="20"/>
                          </w:rPr>
                          <w:t xml:space="preserve"> </w:t>
                        </w:r>
                        <w:proofErr w:type="spellStart"/>
                        <w:r>
                          <w:rPr>
                            <w:rFonts w:ascii="Arial" w:hAnsi="Arial" w:cs="Arial"/>
                            <w:color w:val="333333"/>
                            <w:sz w:val="20"/>
                            <w:szCs w:val="20"/>
                          </w:rPr>
                          <w:t>Equity</w:t>
                        </w:r>
                        <w:proofErr w:type="spellEnd"/>
                        <w:r>
                          <w:rPr>
                            <w:rFonts w:ascii="Arial" w:hAnsi="Arial" w:cs="Arial"/>
                            <w:color w:val="333333"/>
                            <w:sz w:val="20"/>
                            <w:szCs w:val="20"/>
                          </w:rPr>
                          <w:t xml:space="preserve"> e Enseada, o Fundo de Investimento em Direitos Creditórios (FIDC) </w:t>
                        </w:r>
                        <w:proofErr w:type="spellStart"/>
                        <w:r>
                          <w:rPr>
                            <w:rFonts w:ascii="Arial" w:hAnsi="Arial" w:cs="Arial"/>
                            <w:color w:val="333333"/>
                            <w:sz w:val="20"/>
                            <w:szCs w:val="20"/>
                          </w:rPr>
                          <w:t>Trendbank</w:t>
                        </w:r>
                        <w:proofErr w:type="spellEnd"/>
                        <w:r>
                          <w:rPr>
                            <w:rFonts w:ascii="Arial" w:hAnsi="Arial" w:cs="Arial"/>
                            <w:color w:val="333333"/>
                            <w:sz w:val="20"/>
                            <w:szCs w:val="20"/>
                          </w:rPr>
                          <w:t xml:space="preserve"> e as Cédulas de Crédito Bancário (CCB) </w:t>
                        </w:r>
                        <w:proofErr w:type="spellStart"/>
                        <w:r>
                          <w:rPr>
                            <w:rFonts w:ascii="Arial" w:hAnsi="Arial" w:cs="Arial"/>
                            <w:color w:val="333333"/>
                            <w:sz w:val="20"/>
                            <w:szCs w:val="20"/>
                          </w:rPr>
                          <w:t>Providax</w:t>
                        </w:r>
                        <w:proofErr w:type="spellEnd"/>
                        <w:r>
                          <w:rPr>
                            <w:rFonts w:ascii="Arial" w:hAnsi="Arial" w:cs="Arial"/>
                            <w:color w:val="333333"/>
                            <w:sz w:val="20"/>
                            <w:szCs w:val="20"/>
                          </w:rPr>
                          <w:t xml:space="preserve"> Participações e V55 Empreendimentos. Nos processos, o MPF exige a devolução de recursos aportados pela Fundação nos investimentos em questão</w:t>
                        </w:r>
                        <w:r>
                          <w:rPr>
                            <w:rFonts w:ascii="Arial" w:hAnsi="Arial" w:cs="Arial"/>
                            <w:color w:val="333333"/>
                            <w:sz w:val="20"/>
                            <w:szCs w:val="20"/>
                          </w:rPr>
                          <w:t>.</w:t>
                        </w:r>
                      </w:p>
                      <w:p w:rsidR="00875B07" w:rsidRDefault="00875B07">
                        <w:pPr>
                          <w:pStyle w:val="NormalWeb"/>
                          <w:spacing w:line="270" w:lineRule="atLeast"/>
                          <w:jc w:val="both"/>
                          <w:rPr>
                            <w:rFonts w:ascii="Arial" w:hAnsi="Arial" w:cs="Arial"/>
                            <w:color w:val="333333"/>
                            <w:sz w:val="20"/>
                            <w:szCs w:val="20"/>
                          </w:rPr>
                        </w:pPr>
                        <w:r>
                          <w:rPr>
                            <w:rFonts w:ascii="Arial" w:hAnsi="Arial" w:cs="Arial"/>
                            <w:color w:val="333333"/>
                            <w:sz w:val="20"/>
                            <w:szCs w:val="20"/>
                          </w:rPr>
                          <w:t xml:space="preserve">Com esta medida, a Fundação passará a participar de forma ativa destes processos, apoiando o MPF com informações e documentos que auxiliem o órgão a sustentar as acusações por improbidade administrativa. O objetivo da Petros é obter ressarcimento por prejuízos provocados por </w:t>
                        </w:r>
                        <w:proofErr w:type="spellStart"/>
                        <w:r>
                          <w:rPr>
                            <w:rFonts w:ascii="Arial" w:hAnsi="Arial" w:cs="Arial"/>
                            <w:color w:val="333333"/>
                            <w:sz w:val="20"/>
                            <w:szCs w:val="20"/>
                          </w:rPr>
                          <w:t>ex-gestores</w:t>
                        </w:r>
                        <w:proofErr w:type="spellEnd"/>
                        <w:r>
                          <w:rPr>
                            <w:rFonts w:ascii="Arial" w:hAnsi="Arial" w:cs="Arial"/>
                            <w:color w:val="333333"/>
                            <w:sz w:val="20"/>
                            <w:szCs w:val="20"/>
                          </w:rPr>
                          <w:t xml:space="preserve"> em decisões tomadas no passado. A iniciativa é também mais um importante passo para o fortalecimento da governança da Petros e reforça o compromisso com os participantes, </w:t>
                        </w:r>
                        <w:proofErr w:type="gramStart"/>
                        <w:r>
                          <w:rPr>
                            <w:rFonts w:ascii="Arial" w:hAnsi="Arial" w:cs="Arial"/>
                            <w:color w:val="333333"/>
                            <w:sz w:val="20"/>
                            <w:szCs w:val="20"/>
                          </w:rPr>
                          <w:t>agilizando</w:t>
                        </w:r>
                        <w:proofErr w:type="gramEnd"/>
                        <w:r>
                          <w:rPr>
                            <w:rFonts w:ascii="Arial" w:hAnsi="Arial" w:cs="Arial"/>
                            <w:color w:val="333333"/>
                            <w:sz w:val="20"/>
                            <w:szCs w:val="20"/>
                          </w:rPr>
                          <w:t xml:space="preserve"> a reparação de danos que tenham sido causados ao patrimônio da Fundação.</w:t>
                        </w:r>
                        <w:r>
                          <w:rPr>
                            <w:rFonts w:ascii="Arial" w:hAnsi="Arial" w:cs="Arial"/>
                            <w:color w:val="333333"/>
                            <w:sz w:val="20"/>
                            <w:szCs w:val="20"/>
                          </w:rPr>
                          <w:br/>
                        </w:r>
                        <w:r>
                          <w:rPr>
                            <w:rFonts w:ascii="Arial" w:hAnsi="Arial" w:cs="Arial"/>
                            <w:color w:val="333333"/>
                            <w:sz w:val="20"/>
                            <w:szCs w:val="20"/>
                          </w:rPr>
                          <w:br/>
                          <w:t>Além disso, ratifica o trabalho de colaboração com as autoridades, como a Polícia Federal e o Ministério Público Federal, procedimento adotado desde o início das investigações envolvendo fundos de pensão. Paralelamente, também no intuito de buscar responsabilização e ressarcimentos, continuam em curso os trabalhos das Comissões Internas de Apuração (</w:t>
                        </w:r>
                        <w:proofErr w:type="spellStart"/>
                        <w:r>
                          <w:rPr>
                            <w:rFonts w:ascii="Arial" w:hAnsi="Arial" w:cs="Arial"/>
                            <w:color w:val="333333"/>
                            <w:sz w:val="20"/>
                            <w:szCs w:val="20"/>
                          </w:rPr>
                          <w:t>CIAs</w:t>
                        </w:r>
                        <w:proofErr w:type="spellEnd"/>
                        <w:r>
                          <w:rPr>
                            <w:rFonts w:ascii="Arial" w:hAnsi="Arial" w:cs="Arial"/>
                            <w:color w:val="333333"/>
                            <w:sz w:val="20"/>
                            <w:szCs w:val="20"/>
                          </w:rPr>
                          <w:t>) da Fundação, criadas para municiar as autoridades com documentos e informações.</w:t>
                        </w:r>
                      </w:p>
                    </w:tc>
                  </w:tr>
                </w:tbl>
                <w:p w:rsidR="00875B07" w:rsidRDefault="00875B07">
                  <w:pPr>
                    <w:jc w:val="center"/>
                    <w:rPr>
                      <w:rFonts w:eastAsia="Times New Roman"/>
                      <w:sz w:val="20"/>
                      <w:szCs w:val="20"/>
                    </w:rPr>
                  </w:pPr>
                </w:p>
              </w:tc>
            </w:tr>
          </w:tbl>
          <w:p w:rsidR="00875B07" w:rsidRDefault="00875B07">
            <w:pPr>
              <w:rPr>
                <w:rFonts w:eastAsia="Times New Roman"/>
                <w:sz w:val="20"/>
                <w:szCs w:val="20"/>
              </w:rPr>
            </w:pPr>
          </w:p>
        </w:tc>
      </w:tr>
    </w:tbl>
    <w:p w:rsidR="00B21731" w:rsidRDefault="00B21731"/>
    <w:sectPr w:rsidR="00B21731" w:rsidSect="00FB45C3">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07"/>
    <w:rsid w:val="00875B07"/>
    <w:rsid w:val="00B21731"/>
    <w:rsid w:val="00FB4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07"/>
    <w:pPr>
      <w:jc w:val="left"/>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75B07"/>
    <w:pPr>
      <w:spacing w:before="100" w:beforeAutospacing="1" w:after="100" w:afterAutospacing="1"/>
    </w:pPr>
  </w:style>
  <w:style w:type="paragraph" w:styleId="Textodebalo">
    <w:name w:val="Balloon Text"/>
    <w:basedOn w:val="Normal"/>
    <w:link w:val="TextodebaloChar"/>
    <w:uiPriority w:val="99"/>
    <w:semiHidden/>
    <w:unhideWhenUsed/>
    <w:rsid w:val="00875B07"/>
    <w:rPr>
      <w:rFonts w:ascii="Tahoma" w:hAnsi="Tahoma" w:cs="Tahoma"/>
      <w:sz w:val="16"/>
      <w:szCs w:val="16"/>
    </w:rPr>
  </w:style>
  <w:style w:type="character" w:customStyle="1" w:styleId="TextodebaloChar">
    <w:name w:val="Texto de balão Char"/>
    <w:basedOn w:val="Fontepargpadro"/>
    <w:link w:val="Textodebalo"/>
    <w:uiPriority w:val="99"/>
    <w:semiHidden/>
    <w:rsid w:val="00875B07"/>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07"/>
    <w:pPr>
      <w:jc w:val="left"/>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75B07"/>
    <w:pPr>
      <w:spacing w:before="100" w:beforeAutospacing="1" w:after="100" w:afterAutospacing="1"/>
    </w:pPr>
  </w:style>
  <w:style w:type="paragraph" w:styleId="Textodebalo">
    <w:name w:val="Balloon Text"/>
    <w:basedOn w:val="Normal"/>
    <w:link w:val="TextodebaloChar"/>
    <w:uiPriority w:val="99"/>
    <w:semiHidden/>
    <w:unhideWhenUsed/>
    <w:rsid w:val="00875B07"/>
    <w:rPr>
      <w:rFonts w:ascii="Tahoma" w:hAnsi="Tahoma" w:cs="Tahoma"/>
      <w:sz w:val="16"/>
      <w:szCs w:val="16"/>
    </w:rPr>
  </w:style>
  <w:style w:type="character" w:customStyle="1" w:styleId="TextodebaloChar">
    <w:name w:val="Texto de balão Char"/>
    <w:basedOn w:val="Fontepargpadro"/>
    <w:link w:val="Textodebalo"/>
    <w:uiPriority w:val="99"/>
    <w:semiHidden/>
    <w:rsid w:val="00875B07"/>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1617</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Sousa</dc:creator>
  <cp:lastModifiedBy>Manoel Sousa</cp:lastModifiedBy>
  <cp:revision>1</cp:revision>
  <dcterms:created xsi:type="dcterms:W3CDTF">2019-10-29T20:49:00Z</dcterms:created>
  <dcterms:modified xsi:type="dcterms:W3CDTF">2019-10-29T20:51:00Z</dcterms:modified>
</cp:coreProperties>
</file>